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</w:t>
      </w:r>
      <w:r w:rsidR="00C5366A">
        <w:rPr>
          <w:rFonts w:ascii="Times New Roman" w:hAnsi="Times New Roman" w:cs="Times New Roman"/>
          <w:sz w:val="28"/>
          <w:szCs w:val="28"/>
        </w:rPr>
        <w:t>4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25EE8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 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 w:rsidR="00AE4446">
        <w:rPr>
          <w:bCs/>
          <w:i/>
          <w:sz w:val="22"/>
          <w:szCs w:val="22"/>
        </w:rPr>
        <w:t>, от 06.11.2020 №0916-па</w:t>
      </w:r>
      <w:r w:rsidR="00411D61">
        <w:rPr>
          <w:bCs/>
          <w:i/>
          <w:sz w:val="22"/>
          <w:szCs w:val="22"/>
        </w:rPr>
        <w:t>, от 09.09.2021 №0792-п</w:t>
      </w:r>
      <w:r w:rsidR="00425EE8">
        <w:rPr>
          <w:bCs/>
          <w:i/>
          <w:sz w:val="22"/>
          <w:szCs w:val="22"/>
        </w:rPr>
        <w:t>а</w:t>
      </w:r>
      <w:proofErr w:type="gramStart"/>
      <w:r w:rsidR="00425EE8">
        <w:rPr>
          <w:bCs/>
          <w:i/>
          <w:sz w:val="22"/>
          <w:szCs w:val="22"/>
        </w:rPr>
        <w:t>,о</w:t>
      </w:r>
      <w:proofErr w:type="gramEnd"/>
      <w:r w:rsidR="00425EE8">
        <w:rPr>
          <w:bCs/>
          <w:i/>
          <w:sz w:val="22"/>
          <w:szCs w:val="22"/>
        </w:rPr>
        <w:t>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4717F4">
        <w:rPr>
          <w:bCs/>
          <w:i/>
          <w:sz w:val="22"/>
          <w:szCs w:val="22"/>
        </w:rPr>
        <w:t>, от 20.12.2021 №1163-па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425EE8">
        <w:rPr>
          <w:sz w:val="28"/>
          <w:szCs w:val="28"/>
        </w:rPr>
        <w:t>24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425EE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</w:t>
            </w:r>
            <w:r w:rsidR="00425EE8">
              <w:rPr>
                <w:b w:val="0"/>
                <w:sz w:val="28"/>
                <w:szCs w:val="28"/>
              </w:rPr>
              <w:t>4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lastRenderedPageBreak/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425EE8">
              <w:rPr>
                <w:sz w:val="28"/>
                <w:szCs w:val="28"/>
              </w:rPr>
              <w:t>24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AE4446">
              <w:rPr>
                <w:bCs/>
                <w:i/>
                <w:sz w:val="22"/>
                <w:szCs w:val="22"/>
              </w:rPr>
              <w:t>, от 06.11.2020 №0916-па</w:t>
            </w:r>
            <w:r w:rsidR="00411D61">
              <w:rPr>
                <w:bCs/>
                <w:i/>
                <w:sz w:val="22"/>
                <w:szCs w:val="22"/>
              </w:rPr>
              <w:t>, от 09.09.2021 №0792-па</w:t>
            </w:r>
            <w:r w:rsidR="003B77EF">
              <w:rPr>
                <w:bCs/>
                <w:i/>
                <w:sz w:val="22"/>
                <w:szCs w:val="22"/>
              </w:rPr>
              <w:t>, от 09.11.2021№1014-па</w:t>
            </w:r>
            <w:r w:rsidR="000E035F">
              <w:rPr>
                <w:bCs/>
                <w:i/>
                <w:sz w:val="22"/>
                <w:szCs w:val="22"/>
              </w:rPr>
              <w:t>, от 29.11.2021 №1090-па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425EE8">
              <w:rPr>
                <w:b w:val="0"/>
                <w:bCs w:val="0"/>
                <w:sz w:val="28"/>
                <w:szCs w:val="28"/>
              </w:rPr>
              <w:t>11</w:t>
            </w:r>
            <w:r w:rsidR="000E035F">
              <w:rPr>
                <w:b w:val="0"/>
                <w:bCs w:val="0"/>
                <w:sz w:val="28"/>
                <w:szCs w:val="28"/>
              </w:rPr>
              <w:t>27</w:t>
            </w:r>
            <w:r w:rsidR="00425EE8">
              <w:rPr>
                <w:b w:val="0"/>
                <w:bCs w:val="0"/>
                <w:sz w:val="28"/>
                <w:szCs w:val="28"/>
              </w:rPr>
              <w:t>3,1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425EE8">
              <w:rPr>
                <w:sz w:val="28"/>
                <w:szCs w:val="28"/>
              </w:rPr>
              <w:t>4051,1</w:t>
            </w:r>
            <w:r w:rsidR="00AD3385">
              <w:rPr>
                <w:sz w:val="28"/>
                <w:szCs w:val="28"/>
              </w:rPr>
              <w:t xml:space="preserve"> тыс</w:t>
            </w:r>
            <w:proofErr w:type="gramStart"/>
            <w:r w:rsidR="00AD3385">
              <w:rPr>
                <w:sz w:val="28"/>
                <w:szCs w:val="28"/>
              </w:rPr>
              <w:t>.р</w:t>
            </w:r>
            <w:proofErr w:type="gramEnd"/>
            <w:r w:rsidR="00AD3385">
              <w:rPr>
                <w:sz w:val="28"/>
                <w:szCs w:val="28"/>
              </w:rPr>
              <w:t>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0E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425EE8">
              <w:rPr>
                <w:sz w:val="28"/>
                <w:szCs w:val="28"/>
              </w:rPr>
              <w:t>–7</w:t>
            </w:r>
            <w:r w:rsidR="000E035F">
              <w:rPr>
                <w:sz w:val="28"/>
                <w:szCs w:val="28"/>
              </w:rPr>
              <w:t>22</w:t>
            </w:r>
            <w:r w:rsidR="00425EE8">
              <w:rPr>
                <w:sz w:val="28"/>
                <w:szCs w:val="28"/>
              </w:rPr>
              <w:t>2,0</w:t>
            </w:r>
            <w:r w:rsidR="008E1727">
              <w:rPr>
                <w:sz w:val="28"/>
                <w:szCs w:val="28"/>
              </w:rPr>
              <w:t xml:space="preserve">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</w:t>
      </w:r>
      <w:r w:rsidR="001E3A7F">
        <w:rPr>
          <w:sz w:val="28"/>
          <w:szCs w:val="28"/>
        </w:rPr>
        <w:lastRenderedPageBreak/>
        <w:t xml:space="preserve">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E364B8" w:rsidRDefault="00E364B8" w:rsidP="00CC15A6">
      <w:pPr>
        <w:pStyle w:val="ad"/>
        <w:ind w:left="106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редакции постановления администрации МО «</w:t>
      </w:r>
      <w:proofErr w:type="spellStart"/>
      <w:r>
        <w:rPr>
          <w:i/>
          <w:color w:val="000000"/>
          <w:sz w:val="20"/>
          <w:szCs w:val="20"/>
        </w:rPr>
        <w:t>Пинежский</w:t>
      </w:r>
      <w:proofErr w:type="spellEnd"/>
      <w:r>
        <w:rPr>
          <w:i/>
          <w:color w:val="000000"/>
          <w:sz w:val="20"/>
          <w:szCs w:val="20"/>
        </w:rPr>
        <w:t xml:space="preserve"> район» от 20.12.2021 №1163-па)</w:t>
      </w: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 xml:space="preserve">связана с  </w:t>
      </w:r>
      <w:r w:rsidR="004717F4">
        <w:rPr>
          <w:sz w:val="28"/>
          <w:szCs w:val="28"/>
        </w:rPr>
        <w:t>под</w:t>
      </w:r>
      <w:r>
        <w:rPr>
          <w:sz w:val="28"/>
          <w:szCs w:val="28"/>
        </w:rPr>
        <w:t>программой</w:t>
      </w:r>
      <w:r w:rsidR="004717F4">
        <w:rPr>
          <w:sz w:val="28"/>
          <w:szCs w:val="28"/>
        </w:rPr>
        <w:t xml:space="preserve"> №3 государственной программы</w:t>
      </w:r>
      <w:r>
        <w:rPr>
          <w:sz w:val="28"/>
          <w:szCs w:val="28"/>
        </w:rPr>
        <w:t xml:space="preserve"> А</w:t>
      </w:r>
      <w:r w:rsidR="004717F4">
        <w:rPr>
          <w:sz w:val="28"/>
          <w:szCs w:val="28"/>
        </w:rPr>
        <w:t>рхангельской области «Развитие сельского хозяйства и регулирования рынков сельскохозяйственной продукции, сырья и продовольствия Архангельской области»,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</w:t>
      </w:r>
      <w:r w:rsidR="004717F4">
        <w:rPr>
          <w:sz w:val="28"/>
          <w:szCs w:val="28"/>
        </w:rPr>
        <w:t>ти от 09</w:t>
      </w:r>
      <w:r w:rsidR="00D11321">
        <w:rPr>
          <w:sz w:val="28"/>
          <w:szCs w:val="28"/>
        </w:rPr>
        <w:t>.10.201</w:t>
      </w:r>
      <w:r w:rsidR="004717F4">
        <w:rPr>
          <w:sz w:val="28"/>
          <w:szCs w:val="28"/>
        </w:rPr>
        <w:t>2</w:t>
      </w:r>
      <w:r w:rsidR="00D11321">
        <w:rPr>
          <w:sz w:val="28"/>
          <w:szCs w:val="28"/>
        </w:rPr>
        <w:t xml:space="preserve"> № 4</w:t>
      </w:r>
      <w:r w:rsidR="004717F4">
        <w:rPr>
          <w:sz w:val="28"/>
          <w:szCs w:val="28"/>
        </w:rPr>
        <w:t>3</w:t>
      </w:r>
      <w:r w:rsidR="00D11321">
        <w:rPr>
          <w:sz w:val="28"/>
          <w:szCs w:val="28"/>
        </w:rPr>
        <w:t xml:space="preserve">6-пп </w:t>
      </w:r>
      <w:r w:rsidR="00E364B8">
        <w:rPr>
          <w:sz w:val="28"/>
          <w:szCs w:val="28"/>
        </w:rPr>
        <w:t>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 и Порядком</w:t>
      </w:r>
      <w:proofErr w:type="gramEnd"/>
      <w:r w:rsidR="00E364B8">
        <w:rPr>
          <w:sz w:val="28"/>
          <w:szCs w:val="28"/>
        </w:rPr>
        <w:t xml:space="preserve">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>предоставлени</w:t>
      </w:r>
      <w:r w:rsidR="00E364B8">
        <w:rPr>
          <w:rFonts w:eastAsiaTheme="minorHAnsi"/>
          <w:sz w:val="28"/>
          <w:szCs w:val="28"/>
          <w:lang w:eastAsia="en-US"/>
        </w:rPr>
        <w:t>я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 из областного бюджета субсидий бюджетам муниципальных районов Архангельской области на софинансирование расходов по созданию условий для обеспечен</w:t>
      </w:r>
      <w:r w:rsidR="00E364B8">
        <w:rPr>
          <w:rFonts w:eastAsiaTheme="minorHAnsi"/>
          <w:sz w:val="28"/>
          <w:szCs w:val="28"/>
          <w:lang w:eastAsia="en-US"/>
        </w:rPr>
        <w:t>ия поселений услугами торговли,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 бюджетам </w:t>
      </w:r>
      <w:r w:rsidR="00E364B8">
        <w:rPr>
          <w:rFonts w:eastAsiaTheme="minorHAnsi"/>
          <w:sz w:val="28"/>
          <w:szCs w:val="28"/>
          <w:lang w:eastAsia="en-US"/>
        </w:rPr>
        <w:t>муниципальных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 округов Архангельской области на софинансирование расходов по созданию условий для обеспечения жителей </w:t>
      </w:r>
      <w:r w:rsidR="00E364B8">
        <w:rPr>
          <w:rFonts w:eastAsiaTheme="minorHAnsi"/>
          <w:sz w:val="28"/>
          <w:szCs w:val="28"/>
          <w:lang w:eastAsia="en-US"/>
        </w:rPr>
        <w:t>муниципальны</w:t>
      </w:r>
      <w:r w:rsidR="00C726D1" w:rsidRPr="00C726D1">
        <w:rPr>
          <w:rFonts w:eastAsiaTheme="minorHAnsi"/>
          <w:sz w:val="28"/>
          <w:szCs w:val="28"/>
          <w:lang w:eastAsia="en-US"/>
        </w:rPr>
        <w:t>х округов Архангельской области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услугами торговли, </w:t>
      </w:r>
      <w:r w:rsidR="00E364B8">
        <w:rPr>
          <w:rFonts w:eastAsiaTheme="minorHAnsi"/>
          <w:sz w:val="28"/>
          <w:szCs w:val="28"/>
          <w:lang w:eastAsia="en-US"/>
        </w:rPr>
        <w:t>утверждаемы</w:t>
      </w:r>
      <w:r w:rsidR="00C726D1" w:rsidRPr="00C726D1">
        <w:rPr>
          <w:rFonts w:eastAsiaTheme="minorHAnsi"/>
          <w:sz w:val="28"/>
          <w:szCs w:val="28"/>
          <w:lang w:eastAsia="en-US"/>
        </w:rPr>
        <w:t>м постановлением Правительства Архангельской области</w:t>
      </w:r>
      <w:r w:rsidR="00E364B8">
        <w:rPr>
          <w:rFonts w:eastAsiaTheme="minorHAnsi"/>
          <w:sz w:val="28"/>
          <w:szCs w:val="28"/>
          <w:lang w:eastAsia="en-US"/>
        </w:rPr>
        <w:t>.</w:t>
      </w:r>
    </w:p>
    <w:p w:rsidR="00896A3A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E364B8" w:rsidRPr="00C726D1" w:rsidRDefault="00E364B8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0048CE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lastRenderedPageBreak/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8E7731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</w:t>
      </w:r>
      <w:r w:rsidR="008E7731">
        <w:rPr>
          <w:rFonts w:ascii="Times New Roman" w:hAnsi="Times New Roman" w:cs="Times New Roman"/>
          <w:sz w:val="28"/>
          <w:szCs w:val="28"/>
        </w:rPr>
        <w:t>4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№0222-па</w:t>
      </w:r>
      <w:proofErr w:type="gramStart"/>
      <w:r w:rsidR="008E7731">
        <w:rPr>
          <w:rFonts w:ascii="Times New Roman" w:hAnsi="Times New Roman" w:cs="Times New Roman"/>
          <w:i/>
          <w:sz w:val="22"/>
          <w:szCs w:val="22"/>
        </w:rPr>
        <w:t>,о</w:t>
      </w:r>
      <w:proofErr w:type="gramEnd"/>
      <w:r w:rsidR="008E7731">
        <w:rPr>
          <w:rFonts w:ascii="Times New Roman" w:hAnsi="Times New Roman" w:cs="Times New Roman"/>
          <w:i/>
          <w:sz w:val="22"/>
          <w:szCs w:val="22"/>
        </w:rPr>
        <w:t>т09.11.2021№1014-па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8E6478" w:rsidRPr="00F522EA" w:rsidTr="008E6478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8E6478" w:rsidRPr="00F522EA" w:rsidTr="008E6478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6478" w:rsidRPr="00F522EA" w:rsidTr="008E6478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78" w:rsidRPr="00F522EA" w:rsidTr="008E6478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4717F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78" w:rsidRPr="00F522EA" w:rsidTr="008E6478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 w:rsidR="009E64D8">
        <w:rPr>
          <w:sz w:val="28"/>
          <w:szCs w:val="28"/>
        </w:rPr>
        <w:t>на 2018-2024</w:t>
      </w:r>
      <w:r>
        <w:rPr>
          <w:sz w:val="28"/>
          <w:szCs w:val="28"/>
        </w:rPr>
        <w:t xml:space="preserve">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</w:t>
      </w:r>
      <w:r w:rsidR="009E64D8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 w:rsidR="00CE080A">
        <w:rPr>
          <w:i/>
        </w:rPr>
        <w:t>, от 06.11.2018 №1024-па</w:t>
      </w:r>
      <w:r w:rsidR="00490540">
        <w:rPr>
          <w:i/>
        </w:rPr>
        <w:t>, от 06.11.2020 №0916-па</w:t>
      </w:r>
      <w:r w:rsidR="009406B3">
        <w:rPr>
          <w:i/>
        </w:rPr>
        <w:t>, от 09.09.2021 №0792-па</w:t>
      </w:r>
      <w:r w:rsidR="009E64D8">
        <w:rPr>
          <w:i/>
        </w:rPr>
        <w:t xml:space="preserve">, </w:t>
      </w:r>
      <w:proofErr w:type="gramStart"/>
      <w:r w:rsidR="009E64D8">
        <w:rPr>
          <w:i/>
        </w:rPr>
        <w:t>от</w:t>
      </w:r>
      <w:proofErr w:type="gramEnd"/>
      <w:r w:rsidR="009E64D8">
        <w:rPr>
          <w:i/>
        </w:rPr>
        <w:t xml:space="preserve"> 09.11.2021 №1014-па</w:t>
      </w:r>
      <w:r w:rsidR="000E035F">
        <w:rPr>
          <w:bCs/>
          <w:i/>
          <w:sz w:val="22"/>
          <w:szCs w:val="22"/>
        </w:rPr>
        <w:t>, от 29.11.2021 №1090-па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0"/>
        <w:gridCol w:w="2045"/>
        <w:gridCol w:w="2417"/>
        <w:gridCol w:w="1130"/>
        <w:gridCol w:w="1130"/>
        <w:gridCol w:w="990"/>
        <w:gridCol w:w="1154"/>
        <w:gridCol w:w="1122"/>
        <w:gridCol w:w="1122"/>
        <w:gridCol w:w="1122"/>
      </w:tblGrid>
      <w:tr w:rsidR="00F15DFB" w:rsidTr="004717F4">
        <w:tc>
          <w:tcPr>
            <w:tcW w:w="2450" w:type="dxa"/>
            <w:vMerge w:val="restart"/>
          </w:tcPr>
          <w:p w:rsidR="00F15DFB" w:rsidRPr="003A15C0" w:rsidRDefault="00F15DFB" w:rsidP="004717F4">
            <w:pPr>
              <w:jc w:val="center"/>
            </w:pPr>
            <w:r w:rsidRPr="003A15C0">
              <w:t>Статус</w:t>
            </w:r>
          </w:p>
        </w:tc>
        <w:tc>
          <w:tcPr>
            <w:tcW w:w="2045" w:type="dxa"/>
            <w:vMerge w:val="restart"/>
          </w:tcPr>
          <w:p w:rsidR="00F15DFB" w:rsidRPr="003A15C0" w:rsidRDefault="00F15DFB" w:rsidP="004717F4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17" w:type="dxa"/>
            <w:vMerge w:val="restart"/>
          </w:tcPr>
          <w:p w:rsidR="00F15DFB" w:rsidRPr="003A15C0" w:rsidRDefault="00F15DFB" w:rsidP="004717F4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770" w:type="dxa"/>
            <w:gridSpan w:val="7"/>
          </w:tcPr>
          <w:p w:rsidR="00F15DFB" w:rsidRPr="003A15C0" w:rsidRDefault="00F15DFB" w:rsidP="004717F4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F15DFB" w:rsidTr="004717F4">
        <w:tc>
          <w:tcPr>
            <w:tcW w:w="2450" w:type="dxa"/>
            <w:vMerge/>
          </w:tcPr>
          <w:p w:rsidR="00F15DFB" w:rsidRPr="003A15C0" w:rsidRDefault="00F15DFB" w:rsidP="004717F4">
            <w:pPr>
              <w:jc w:val="center"/>
            </w:pPr>
          </w:p>
        </w:tc>
        <w:tc>
          <w:tcPr>
            <w:tcW w:w="2045" w:type="dxa"/>
            <w:vMerge/>
          </w:tcPr>
          <w:p w:rsidR="00F15DFB" w:rsidRPr="003A15C0" w:rsidRDefault="00F15DFB" w:rsidP="004717F4">
            <w:pPr>
              <w:jc w:val="center"/>
            </w:pPr>
          </w:p>
        </w:tc>
        <w:tc>
          <w:tcPr>
            <w:tcW w:w="2417" w:type="dxa"/>
            <w:vMerge/>
          </w:tcPr>
          <w:p w:rsidR="00F15DFB" w:rsidRPr="003A15C0" w:rsidRDefault="00F15DFB" w:rsidP="004717F4">
            <w:pPr>
              <w:jc w:val="center"/>
            </w:pPr>
          </w:p>
        </w:tc>
        <w:tc>
          <w:tcPr>
            <w:tcW w:w="1130" w:type="dxa"/>
          </w:tcPr>
          <w:p w:rsidR="00F15DFB" w:rsidRPr="003A15C0" w:rsidRDefault="00F15DFB" w:rsidP="004717F4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130" w:type="dxa"/>
          </w:tcPr>
          <w:p w:rsidR="00F15DFB" w:rsidRPr="003A15C0" w:rsidRDefault="00F15DFB" w:rsidP="004717F4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90" w:type="dxa"/>
          </w:tcPr>
          <w:p w:rsidR="00F15DFB" w:rsidRPr="003A15C0" w:rsidRDefault="00F15DFB" w:rsidP="004717F4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54" w:type="dxa"/>
          </w:tcPr>
          <w:p w:rsidR="00F15DFB" w:rsidRPr="003A15C0" w:rsidRDefault="00F15DFB" w:rsidP="004717F4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122" w:type="dxa"/>
          </w:tcPr>
          <w:p w:rsidR="00F15DFB" w:rsidRPr="003A15C0" w:rsidRDefault="00F15DFB" w:rsidP="004717F4">
            <w:pPr>
              <w:jc w:val="center"/>
            </w:pPr>
            <w:r>
              <w:t>2022 г.</w:t>
            </w:r>
          </w:p>
        </w:tc>
        <w:tc>
          <w:tcPr>
            <w:tcW w:w="1122" w:type="dxa"/>
          </w:tcPr>
          <w:p w:rsidR="00F15DFB" w:rsidRPr="003A15C0" w:rsidRDefault="00F15DFB" w:rsidP="004717F4">
            <w:pPr>
              <w:jc w:val="center"/>
            </w:pPr>
            <w:r>
              <w:t>2023 г.</w:t>
            </w:r>
          </w:p>
        </w:tc>
        <w:tc>
          <w:tcPr>
            <w:tcW w:w="1122" w:type="dxa"/>
          </w:tcPr>
          <w:p w:rsidR="00F15DFB" w:rsidRPr="003A15C0" w:rsidRDefault="00F15DFB" w:rsidP="004717F4">
            <w:pPr>
              <w:jc w:val="center"/>
            </w:pPr>
            <w:r>
              <w:t>2024 г.</w:t>
            </w:r>
          </w:p>
        </w:tc>
      </w:tr>
      <w:tr w:rsidR="00F15DFB" w:rsidTr="004717F4">
        <w:tc>
          <w:tcPr>
            <w:tcW w:w="2450" w:type="dxa"/>
          </w:tcPr>
          <w:p w:rsidR="00F15DFB" w:rsidRPr="003A15C0" w:rsidRDefault="00F15DFB" w:rsidP="004717F4">
            <w:pPr>
              <w:jc w:val="center"/>
            </w:pPr>
            <w:r w:rsidRPr="003A15C0">
              <w:t>1</w:t>
            </w:r>
          </w:p>
        </w:tc>
        <w:tc>
          <w:tcPr>
            <w:tcW w:w="2045" w:type="dxa"/>
          </w:tcPr>
          <w:p w:rsidR="00F15DFB" w:rsidRPr="003A15C0" w:rsidRDefault="00F15DFB" w:rsidP="004717F4">
            <w:pPr>
              <w:jc w:val="center"/>
            </w:pPr>
            <w:r w:rsidRPr="003A15C0">
              <w:t>2</w:t>
            </w:r>
          </w:p>
        </w:tc>
        <w:tc>
          <w:tcPr>
            <w:tcW w:w="2417" w:type="dxa"/>
          </w:tcPr>
          <w:p w:rsidR="00F15DFB" w:rsidRPr="003A15C0" w:rsidRDefault="00F15DFB" w:rsidP="004717F4">
            <w:pPr>
              <w:jc w:val="center"/>
            </w:pPr>
            <w:r w:rsidRPr="003A15C0">
              <w:t>3</w:t>
            </w:r>
          </w:p>
        </w:tc>
        <w:tc>
          <w:tcPr>
            <w:tcW w:w="1130" w:type="dxa"/>
          </w:tcPr>
          <w:p w:rsidR="00F15DFB" w:rsidRPr="003A15C0" w:rsidRDefault="00F15DFB" w:rsidP="004717F4">
            <w:pPr>
              <w:jc w:val="center"/>
            </w:pPr>
            <w:r w:rsidRPr="003A15C0">
              <w:t>4</w:t>
            </w:r>
          </w:p>
        </w:tc>
        <w:tc>
          <w:tcPr>
            <w:tcW w:w="1130" w:type="dxa"/>
          </w:tcPr>
          <w:p w:rsidR="00F15DFB" w:rsidRPr="003A15C0" w:rsidRDefault="00F15DFB" w:rsidP="004717F4">
            <w:pPr>
              <w:jc w:val="center"/>
            </w:pPr>
            <w:r w:rsidRPr="003A15C0">
              <w:t>5</w:t>
            </w:r>
          </w:p>
        </w:tc>
        <w:tc>
          <w:tcPr>
            <w:tcW w:w="990" w:type="dxa"/>
          </w:tcPr>
          <w:p w:rsidR="00F15DFB" w:rsidRPr="003A15C0" w:rsidRDefault="00F15DFB" w:rsidP="004717F4">
            <w:pPr>
              <w:jc w:val="center"/>
            </w:pPr>
            <w:r w:rsidRPr="003A15C0">
              <w:t>6</w:t>
            </w:r>
          </w:p>
        </w:tc>
        <w:tc>
          <w:tcPr>
            <w:tcW w:w="1154" w:type="dxa"/>
          </w:tcPr>
          <w:p w:rsidR="00F15DFB" w:rsidRPr="003A15C0" w:rsidRDefault="00F15DFB" w:rsidP="004717F4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F15DFB" w:rsidRPr="003A15C0" w:rsidRDefault="00F15DFB" w:rsidP="004717F4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F15DFB" w:rsidRPr="003A15C0" w:rsidRDefault="00F15DFB" w:rsidP="004717F4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F15DFB" w:rsidRPr="003A15C0" w:rsidRDefault="00F15DFB" w:rsidP="004717F4">
            <w:pPr>
              <w:jc w:val="center"/>
            </w:pPr>
            <w:r>
              <w:t>10</w:t>
            </w:r>
          </w:p>
        </w:tc>
      </w:tr>
      <w:tr w:rsidR="00F15DFB" w:rsidTr="004717F4">
        <w:tc>
          <w:tcPr>
            <w:tcW w:w="2450" w:type="dxa"/>
          </w:tcPr>
          <w:p w:rsidR="00F15DFB" w:rsidRPr="003A15C0" w:rsidRDefault="00F15DFB" w:rsidP="004717F4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45" w:type="dxa"/>
          </w:tcPr>
          <w:p w:rsidR="00F15DFB" w:rsidRPr="003A15C0" w:rsidRDefault="00F15DFB" w:rsidP="004717F4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F15DFB" w:rsidRPr="003A15C0" w:rsidRDefault="00F15DFB" w:rsidP="004717F4">
            <w:pPr>
              <w:jc w:val="center"/>
            </w:pPr>
          </w:p>
        </w:tc>
        <w:tc>
          <w:tcPr>
            <w:tcW w:w="2417" w:type="dxa"/>
          </w:tcPr>
          <w:p w:rsidR="00F15DFB" w:rsidRPr="003A15C0" w:rsidRDefault="00F15DFB" w:rsidP="004717F4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F15DFB" w:rsidRPr="003A15C0" w:rsidRDefault="00F15DFB" w:rsidP="004717F4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130" w:type="dxa"/>
          </w:tcPr>
          <w:p w:rsidR="00F15DFB" w:rsidRPr="003A15C0" w:rsidRDefault="00F15DFB" w:rsidP="004717F4">
            <w:pPr>
              <w:jc w:val="center"/>
            </w:pPr>
            <w:r>
              <w:t>600,0</w:t>
            </w:r>
          </w:p>
        </w:tc>
        <w:tc>
          <w:tcPr>
            <w:tcW w:w="1130" w:type="dxa"/>
          </w:tcPr>
          <w:p w:rsidR="00F15DFB" w:rsidRPr="003A15C0" w:rsidRDefault="00F15DFB" w:rsidP="004717F4">
            <w:pPr>
              <w:jc w:val="center"/>
            </w:pPr>
            <w:r>
              <w:t>600,0</w:t>
            </w:r>
          </w:p>
        </w:tc>
        <w:tc>
          <w:tcPr>
            <w:tcW w:w="990" w:type="dxa"/>
          </w:tcPr>
          <w:p w:rsidR="00F15DFB" w:rsidRPr="003A15C0" w:rsidRDefault="00F15DFB" w:rsidP="004717F4">
            <w:pPr>
              <w:jc w:val="center"/>
            </w:pPr>
            <w:r>
              <w:t>392,0</w:t>
            </w:r>
          </w:p>
        </w:tc>
        <w:tc>
          <w:tcPr>
            <w:tcW w:w="1154" w:type="dxa"/>
          </w:tcPr>
          <w:p w:rsidR="00F15DFB" w:rsidRPr="003A15C0" w:rsidRDefault="00F15DFB" w:rsidP="000E035F">
            <w:pPr>
              <w:jc w:val="center"/>
            </w:pPr>
            <w:r>
              <w:t>1</w:t>
            </w:r>
            <w:r w:rsidR="000E035F">
              <w:t>22</w:t>
            </w:r>
            <w:r>
              <w:t>0,0</w:t>
            </w:r>
          </w:p>
        </w:tc>
        <w:tc>
          <w:tcPr>
            <w:tcW w:w="1122" w:type="dxa"/>
          </w:tcPr>
          <w:p w:rsidR="00F15DFB" w:rsidRDefault="00F15DFB" w:rsidP="004717F4">
            <w:pPr>
              <w:jc w:val="center"/>
            </w:pPr>
            <w:r>
              <w:t>2073,6</w:t>
            </w:r>
          </w:p>
        </w:tc>
        <w:tc>
          <w:tcPr>
            <w:tcW w:w="1122" w:type="dxa"/>
          </w:tcPr>
          <w:p w:rsidR="00F15DFB" w:rsidRDefault="00F15DFB" w:rsidP="004717F4">
            <w:pPr>
              <w:jc w:val="center"/>
            </w:pPr>
            <w:r>
              <w:t>1174,6</w:t>
            </w:r>
          </w:p>
        </w:tc>
        <w:tc>
          <w:tcPr>
            <w:tcW w:w="1122" w:type="dxa"/>
          </w:tcPr>
          <w:p w:rsidR="00F15DFB" w:rsidRPr="00401433" w:rsidRDefault="00F15DFB" w:rsidP="004717F4">
            <w:pPr>
              <w:jc w:val="center"/>
            </w:pPr>
            <w:r>
              <w:t>1161,8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FF520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</w:t>
      </w:r>
      <w:r w:rsidR="00FF520A">
        <w:rPr>
          <w:b/>
          <w:sz w:val="28"/>
          <w:szCs w:val="28"/>
        </w:rPr>
        <w:t>4</w:t>
      </w:r>
      <w:r w:rsidRPr="002F4BB3">
        <w:rPr>
          <w:b/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</w:t>
      </w:r>
      <w:r w:rsidR="001608F1">
        <w:rPr>
          <w:i/>
        </w:rPr>
        <w:t>, от 06.11.2019 №1024-па</w:t>
      </w:r>
      <w:r w:rsidR="00FC46FD">
        <w:rPr>
          <w:i/>
        </w:rPr>
        <w:t>, от 06.11.2020.№0916-па</w:t>
      </w:r>
      <w:r w:rsidR="00AE6802">
        <w:rPr>
          <w:i/>
        </w:rPr>
        <w:t>, от 09.09.2021 №0792-па</w:t>
      </w:r>
      <w:r w:rsidR="00FF520A">
        <w:rPr>
          <w:i/>
        </w:rPr>
        <w:t xml:space="preserve">, </w:t>
      </w:r>
      <w:proofErr w:type="gramStart"/>
      <w:r w:rsidR="00FF520A">
        <w:rPr>
          <w:i/>
        </w:rPr>
        <w:t>от</w:t>
      </w:r>
      <w:proofErr w:type="gramEnd"/>
      <w:r w:rsidR="00FF520A">
        <w:rPr>
          <w:i/>
        </w:rPr>
        <w:t xml:space="preserve"> 09.11.2021 №1014-па</w:t>
      </w:r>
      <w:r w:rsidR="000E035F">
        <w:rPr>
          <w:bCs/>
          <w:i/>
          <w:sz w:val="22"/>
          <w:szCs w:val="22"/>
        </w:rPr>
        <w:t>, от 29.11.2021 №1090-па</w:t>
      </w:r>
      <w:r>
        <w:rPr>
          <w:i/>
        </w:rPr>
        <w:t>)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CF72B6" w:rsidRPr="003301E0" w:rsidTr="004717F4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CF72B6" w:rsidRPr="0077026C" w:rsidRDefault="00CF72B6" w:rsidP="004717F4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CF72B6" w:rsidRPr="0077026C" w:rsidRDefault="00CF72B6" w:rsidP="004717F4">
            <w:pPr>
              <w:jc w:val="center"/>
            </w:pPr>
            <w:r w:rsidRPr="0077026C">
              <w:t>Ответственный исполнитель,</w:t>
            </w:r>
          </w:p>
          <w:p w:rsidR="00CF72B6" w:rsidRPr="0077026C" w:rsidRDefault="00CF72B6" w:rsidP="004717F4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CF72B6" w:rsidRPr="0077026C" w:rsidRDefault="00CF72B6" w:rsidP="004717F4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CF72B6" w:rsidRPr="0077026C" w:rsidRDefault="00CF72B6" w:rsidP="004717F4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CF72B6" w:rsidRPr="0077026C" w:rsidRDefault="00CF72B6" w:rsidP="004717F4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CF72B6" w:rsidRPr="003301E0" w:rsidTr="004717F4">
        <w:trPr>
          <w:gridAfter w:val="1"/>
          <w:wAfter w:w="6" w:type="dxa"/>
        </w:trPr>
        <w:tc>
          <w:tcPr>
            <w:tcW w:w="1985" w:type="dxa"/>
            <w:vMerge/>
          </w:tcPr>
          <w:p w:rsidR="00CF72B6" w:rsidRPr="0077026C" w:rsidRDefault="00CF72B6" w:rsidP="004717F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F72B6" w:rsidRPr="0077026C" w:rsidRDefault="00CF72B6" w:rsidP="004717F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F72B6" w:rsidRPr="0077026C" w:rsidRDefault="00CF72B6" w:rsidP="004717F4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CF72B6" w:rsidRPr="0077026C" w:rsidRDefault="00CF72B6" w:rsidP="004717F4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CF72B6" w:rsidRPr="0077026C" w:rsidRDefault="00CF72B6" w:rsidP="004717F4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CF72B6" w:rsidRPr="0077026C" w:rsidRDefault="00CF72B6" w:rsidP="004717F4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CF72B6" w:rsidRPr="0077026C" w:rsidRDefault="00CF72B6" w:rsidP="004717F4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CF72B6" w:rsidRPr="0077026C" w:rsidRDefault="00CF72B6" w:rsidP="004717F4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CF72B6" w:rsidRPr="0077026C" w:rsidRDefault="00CF72B6" w:rsidP="004717F4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CF72B6" w:rsidRPr="0077026C" w:rsidRDefault="00CF72B6" w:rsidP="004717F4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CF72B6" w:rsidRDefault="00CF72B6" w:rsidP="004717F4">
            <w:pPr>
              <w:jc w:val="center"/>
            </w:pPr>
          </w:p>
          <w:p w:rsidR="00CF72B6" w:rsidRPr="0077026C" w:rsidRDefault="00CF72B6" w:rsidP="004717F4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jc w:val="center"/>
            </w:pPr>
          </w:p>
          <w:p w:rsidR="00CF72B6" w:rsidRPr="0077026C" w:rsidRDefault="00CF72B6" w:rsidP="004717F4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CF72B6" w:rsidRDefault="00CF72B6" w:rsidP="004717F4">
            <w:pPr>
              <w:jc w:val="center"/>
            </w:pPr>
          </w:p>
          <w:p w:rsidR="00CF72B6" w:rsidRPr="0077026C" w:rsidRDefault="00CF72B6" w:rsidP="004717F4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CF72B6" w:rsidRPr="0077026C" w:rsidRDefault="00CF72B6" w:rsidP="004717F4">
            <w:pPr>
              <w:jc w:val="center"/>
            </w:pPr>
          </w:p>
        </w:tc>
      </w:tr>
      <w:tr w:rsidR="00CF72B6" w:rsidRPr="003301E0" w:rsidTr="004717F4">
        <w:tc>
          <w:tcPr>
            <w:tcW w:w="1985" w:type="dxa"/>
          </w:tcPr>
          <w:p w:rsidR="00CF72B6" w:rsidRPr="0077026C" w:rsidRDefault="00CF72B6" w:rsidP="004717F4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CF72B6" w:rsidRPr="0077026C" w:rsidRDefault="00CF72B6" w:rsidP="004717F4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CF72B6" w:rsidRPr="0077026C" w:rsidRDefault="00CF72B6" w:rsidP="004717F4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CF72B6" w:rsidRPr="0077026C" w:rsidRDefault="00CF72B6" w:rsidP="004717F4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CF72B6" w:rsidRPr="0077026C" w:rsidRDefault="00CF72B6" w:rsidP="004717F4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CF72B6" w:rsidRPr="0077026C" w:rsidRDefault="00CF72B6" w:rsidP="004717F4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CF72B6" w:rsidRPr="0077026C" w:rsidRDefault="00CF72B6" w:rsidP="004717F4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CF72B6" w:rsidRPr="0077026C" w:rsidRDefault="00CF72B6" w:rsidP="004717F4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CF72B6" w:rsidRPr="0077026C" w:rsidRDefault="00CF72B6" w:rsidP="004717F4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CF72B6" w:rsidRPr="0077026C" w:rsidRDefault="00CF72B6" w:rsidP="004717F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CF72B6" w:rsidRPr="0077026C" w:rsidRDefault="00CF72B6" w:rsidP="004717F4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CF72B6" w:rsidRPr="0077026C" w:rsidRDefault="00CF72B6" w:rsidP="004717F4">
            <w:pPr>
              <w:jc w:val="center"/>
            </w:pPr>
            <w:r>
              <w:t>12</w:t>
            </w:r>
          </w:p>
        </w:tc>
      </w:tr>
      <w:tr w:rsidR="00CF72B6" w:rsidRPr="003301E0" w:rsidTr="004717F4">
        <w:trPr>
          <w:gridAfter w:val="2"/>
          <w:wAfter w:w="25" w:type="dxa"/>
        </w:trPr>
        <w:tc>
          <w:tcPr>
            <w:tcW w:w="1985" w:type="dxa"/>
          </w:tcPr>
          <w:p w:rsidR="00CF72B6" w:rsidRPr="004E648E" w:rsidRDefault="00CF72B6" w:rsidP="004717F4">
            <w:pPr>
              <w:jc w:val="both"/>
            </w:pPr>
          </w:p>
        </w:tc>
        <w:tc>
          <w:tcPr>
            <w:tcW w:w="12910" w:type="dxa"/>
            <w:gridSpan w:val="28"/>
          </w:tcPr>
          <w:p w:rsidR="00CF72B6" w:rsidRPr="002F4BB3" w:rsidRDefault="00CF72B6" w:rsidP="004717F4">
            <w:pPr>
              <w:jc w:val="center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CF72B6" w:rsidRPr="003301E0" w:rsidTr="004717F4">
        <w:trPr>
          <w:gridAfter w:val="2"/>
          <w:wAfter w:w="25" w:type="dxa"/>
        </w:trPr>
        <w:tc>
          <w:tcPr>
            <w:tcW w:w="1985" w:type="dxa"/>
          </w:tcPr>
          <w:p w:rsidR="00CF72B6" w:rsidRPr="00114F8B" w:rsidRDefault="00CF72B6" w:rsidP="004717F4">
            <w:pPr>
              <w:tabs>
                <w:tab w:val="left" w:pos="370"/>
              </w:tabs>
              <w:jc w:val="center"/>
              <w:rPr>
                <w:bCs/>
              </w:rPr>
            </w:pPr>
          </w:p>
        </w:tc>
        <w:tc>
          <w:tcPr>
            <w:tcW w:w="12910" w:type="dxa"/>
            <w:gridSpan w:val="28"/>
          </w:tcPr>
          <w:p w:rsidR="00CF72B6" w:rsidRDefault="00CF72B6" w:rsidP="004717F4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CF72B6" w:rsidRPr="003301E0" w:rsidTr="004717F4">
        <w:trPr>
          <w:gridAfter w:val="2"/>
          <w:wAfter w:w="25" w:type="dxa"/>
          <w:trHeight w:val="360"/>
        </w:trPr>
        <w:tc>
          <w:tcPr>
            <w:tcW w:w="1985" w:type="dxa"/>
            <w:vMerge w:val="restart"/>
          </w:tcPr>
          <w:p w:rsidR="00CF72B6" w:rsidRPr="00B91A91" w:rsidRDefault="00CF72B6" w:rsidP="004717F4">
            <w:pPr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CF72B6" w:rsidRPr="00B91A91" w:rsidRDefault="00CF72B6" w:rsidP="004717F4">
            <w:pPr>
              <w:rPr>
                <w:i/>
              </w:rPr>
            </w:pPr>
          </w:p>
          <w:p w:rsidR="00CF72B6" w:rsidRDefault="00CF72B6" w:rsidP="004717F4"/>
          <w:p w:rsidR="00CF72B6" w:rsidRPr="00EE544B" w:rsidRDefault="00CF72B6" w:rsidP="004717F4"/>
        </w:tc>
        <w:tc>
          <w:tcPr>
            <w:tcW w:w="1980" w:type="dxa"/>
            <w:vMerge w:val="restart"/>
          </w:tcPr>
          <w:p w:rsidR="00CF72B6" w:rsidRPr="00EE544B" w:rsidRDefault="00CF72B6" w:rsidP="004717F4">
            <w:r>
              <w:lastRenderedPageBreak/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CF72B6" w:rsidRPr="003301E0" w:rsidRDefault="00CF72B6" w:rsidP="004717F4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CF72B6" w:rsidRPr="00EE544B" w:rsidRDefault="00CF72B6" w:rsidP="000E035F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2,0</w:t>
            </w:r>
          </w:p>
        </w:tc>
        <w:tc>
          <w:tcPr>
            <w:tcW w:w="860" w:type="dxa"/>
            <w:gridSpan w:val="2"/>
          </w:tcPr>
          <w:p w:rsidR="00CF72B6" w:rsidRPr="00EE544B" w:rsidRDefault="00CF72B6" w:rsidP="004717F4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CF72B6" w:rsidRPr="00EE544B" w:rsidRDefault="00CF72B6" w:rsidP="000E035F">
            <w:pPr>
              <w:rPr>
                <w:bCs/>
              </w:rPr>
            </w:pPr>
            <w:r>
              <w:rPr>
                <w:bCs/>
              </w:rPr>
              <w:t>1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064F41" w:rsidRDefault="00CF72B6" w:rsidP="004717F4">
            <w:r>
              <w:t>2073,6</w:t>
            </w:r>
          </w:p>
        </w:tc>
        <w:tc>
          <w:tcPr>
            <w:tcW w:w="992" w:type="dxa"/>
            <w:gridSpan w:val="4"/>
          </w:tcPr>
          <w:p w:rsidR="00CF72B6" w:rsidRPr="00064F41" w:rsidRDefault="00CF72B6" w:rsidP="004717F4">
            <w:r>
              <w:t>1174,6</w:t>
            </w:r>
          </w:p>
        </w:tc>
        <w:tc>
          <w:tcPr>
            <w:tcW w:w="992" w:type="dxa"/>
            <w:gridSpan w:val="5"/>
          </w:tcPr>
          <w:p w:rsidR="00CF72B6" w:rsidRPr="00064F41" w:rsidRDefault="00CF72B6" w:rsidP="004717F4">
            <w:r>
              <w:t>1161,8</w:t>
            </w:r>
          </w:p>
        </w:tc>
        <w:tc>
          <w:tcPr>
            <w:tcW w:w="1839" w:type="dxa"/>
            <w:gridSpan w:val="4"/>
            <w:vMerge w:val="restart"/>
          </w:tcPr>
          <w:p w:rsidR="00CF72B6" w:rsidRPr="00064F41" w:rsidRDefault="00CF72B6" w:rsidP="004717F4"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</w:t>
            </w:r>
            <w:r w:rsidRPr="00064F41">
              <w:lastRenderedPageBreak/>
              <w:t xml:space="preserve">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CF72B6" w:rsidRPr="003301E0" w:rsidTr="004717F4">
        <w:trPr>
          <w:gridAfter w:val="2"/>
          <w:wAfter w:w="25" w:type="dxa"/>
          <w:trHeight w:val="399"/>
        </w:trPr>
        <w:tc>
          <w:tcPr>
            <w:tcW w:w="1985" w:type="dxa"/>
            <w:vMerge/>
          </w:tcPr>
          <w:p w:rsidR="00CF72B6" w:rsidRDefault="00CF72B6" w:rsidP="004717F4"/>
        </w:tc>
        <w:tc>
          <w:tcPr>
            <w:tcW w:w="1980" w:type="dxa"/>
            <w:vMerge/>
          </w:tcPr>
          <w:p w:rsidR="00CF72B6" w:rsidRPr="00EE544B" w:rsidRDefault="00CF72B6" w:rsidP="004717F4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CF72B6" w:rsidRDefault="00CF72B6" w:rsidP="004717F4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CF72B6" w:rsidRDefault="00CF72B6" w:rsidP="004717F4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CF72B6" w:rsidRPr="00064F41" w:rsidRDefault="00CF72B6" w:rsidP="004717F4">
            <w:pPr>
              <w:jc w:val="both"/>
            </w:pPr>
          </w:p>
        </w:tc>
        <w:tc>
          <w:tcPr>
            <w:tcW w:w="992" w:type="dxa"/>
            <w:gridSpan w:val="4"/>
          </w:tcPr>
          <w:p w:rsidR="00CF72B6" w:rsidRPr="00064F41" w:rsidRDefault="00CF72B6" w:rsidP="004717F4">
            <w:pPr>
              <w:jc w:val="both"/>
            </w:pPr>
          </w:p>
        </w:tc>
        <w:tc>
          <w:tcPr>
            <w:tcW w:w="992" w:type="dxa"/>
            <w:gridSpan w:val="5"/>
          </w:tcPr>
          <w:p w:rsidR="00CF72B6" w:rsidRPr="00064F41" w:rsidRDefault="00CF72B6" w:rsidP="004717F4">
            <w:pPr>
              <w:jc w:val="both"/>
            </w:pPr>
          </w:p>
        </w:tc>
        <w:tc>
          <w:tcPr>
            <w:tcW w:w="1839" w:type="dxa"/>
            <w:gridSpan w:val="4"/>
            <w:vMerge/>
          </w:tcPr>
          <w:p w:rsidR="00CF72B6" w:rsidRPr="00064F41" w:rsidRDefault="00CF72B6" w:rsidP="004717F4">
            <w:pPr>
              <w:jc w:val="both"/>
            </w:pPr>
          </w:p>
        </w:tc>
      </w:tr>
      <w:tr w:rsidR="00CF72B6" w:rsidRPr="003301E0" w:rsidTr="004717F4">
        <w:trPr>
          <w:gridAfter w:val="2"/>
          <w:wAfter w:w="25" w:type="dxa"/>
          <w:trHeight w:val="601"/>
        </w:trPr>
        <w:tc>
          <w:tcPr>
            <w:tcW w:w="1985" w:type="dxa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3301E0" w:rsidRDefault="00CF72B6" w:rsidP="0047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1004" w:type="dxa"/>
            <w:gridSpan w:val="3"/>
          </w:tcPr>
          <w:p w:rsidR="00CF72B6" w:rsidRPr="00EE544B" w:rsidRDefault="00CF72B6" w:rsidP="004717F4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F72B6" w:rsidRPr="00EE544B" w:rsidRDefault="00CF72B6" w:rsidP="004717F4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</w:tr>
      <w:tr w:rsidR="00CF72B6" w:rsidRPr="003301E0" w:rsidTr="004717F4">
        <w:trPr>
          <w:gridAfter w:val="2"/>
          <w:wAfter w:w="25" w:type="dxa"/>
          <w:trHeight w:val="569"/>
        </w:trPr>
        <w:tc>
          <w:tcPr>
            <w:tcW w:w="1985" w:type="dxa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3301E0" w:rsidRDefault="00CF72B6" w:rsidP="0047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CF72B6" w:rsidRPr="00AD3385" w:rsidRDefault="00CF72B6" w:rsidP="004717F4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AD3385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</w:tr>
      <w:tr w:rsidR="00CF72B6" w:rsidRPr="003301E0" w:rsidTr="004717F4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3301E0" w:rsidRDefault="00CF72B6" w:rsidP="0047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1004" w:type="dxa"/>
            <w:gridSpan w:val="3"/>
          </w:tcPr>
          <w:p w:rsidR="00CF72B6" w:rsidRPr="00EE544B" w:rsidRDefault="00CF72B6" w:rsidP="000E035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2,0</w:t>
            </w:r>
          </w:p>
        </w:tc>
        <w:tc>
          <w:tcPr>
            <w:tcW w:w="860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4717F4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CF72B6" w:rsidRPr="00EE544B" w:rsidRDefault="00CF72B6" w:rsidP="000E035F">
            <w:pPr>
              <w:rPr>
                <w:bCs/>
              </w:rPr>
            </w:pPr>
            <w:r>
              <w:rPr>
                <w:bCs/>
              </w:rPr>
              <w:t>1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064F41" w:rsidRDefault="00CF72B6" w:rsidP="004717F4">
            <w:r>
              <w:t>2073,6</w:t>
            </w:r>
          </w:p>
        </w:tc>
        <w:tc>
          <w:tcPr>
            <w:tcW w:w="992" w:type="dxa"/>
            <w:gridSpan w:val="4"/>
          </w:tcPr>
          <w:p w:rsidR="00CF72B6" w:rsidRPr="00064F41" w:rsidRDefault="00CF72B6" w:rsidP="004717F4">
            <w:r>
              <w:t>1174,6</w:t>
            </w:r>
          </w:p>
        </w:tc>
        <w:tc>
          <w:tcPr>
            <w:tcW w:w="992" w:type="dxa"/>
            <w:gridSpan w:val="5"/>
          </w:tcPr>
          <w:p w:rsidR="00CF72B6" w:rsidRPr="00064F41" w:rsidRDefault="00CF72B6" w:rsidP="004717F4">
            <w:r>
              <w:t>1161,8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</w:tr>
      <w:tr w:rsidR="00CF72B6" w:rsidRPr="003301E0" w:rsidTr="004717F4">
        <w:trPr>
          <w:gridAfter w:val="2"/>
          <w:wAfter w:w="25" w:type="dxa"/>
          <w:trHeight w:val="312"/>
        </w:trPr>
        <w:tc>
          <w:tcPr>
            <w:tcW w:w="1985" w:type="dxa"/>
            <w:vMerge w:val="restart"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  <w:r>
              <w:lastRenderedPageBreak/>
              <w:t>1</w:t>
            </w:r>
            <w:r w:rsidRPr="00EE544B">
              <w:t>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1980" w:type="dxa"/>
            <w:vMerge w:val="restart"/>
          </w:tcPr>
          <w:p w:rsidR="00CF72B6" w:rsidRPr="00EE544B" w:rsidRDefault="00CF72B6" w:rsidP="004717F4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CF72B6" w:rsidRPr="003301E0" w:rsidRDefault="00CF72B6" w:rsidP="004717F4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CF72B6" w:rsidRDefault="00CF72B6" w:rsidP="004717F4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 w:val="restart"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CF72B6" w:rsidRPr="003301E0" w:rsidTr="004717F4">
        <w:trPr>
          <w:gridAfter w:val="2"/>
          <w:wAfter w:w="25" w:type="dxa"/>
          <w:trHeight w:val="367"/>
        </w:trPr>
        <w:tc>
          <w:tcPr>
            <w:tcW w:w="1985" w:type="dxa"/>
            <w:vMerge/>
          </w:tcPr>
          <w:p w:rsidR="00CF72B6" w:rsidRPr="00EE544B" w:rsidRDefault="00CF72B6" w:rsidP="004717F4"/>
        </w:tc>
        <w:tc>
          <w:tcPr>
            <w:tcW w:w="1980" w:type="dxa"/>
            <w:vMerge/>
          </w:tcPr>
          <w:p w:rsidR="00CF72B6" w:rsidRPr="00EE544B" w:rsidRDefault="00CF72B6" w:rsidP="004717F4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CF72B6" w:rsidRDefault="00CF72B6" w:rsidP="004717F4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CF72B6" w:rsidRDefault="00CF72B6" w:rsidP="004717F4">
            <w:pPr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CF72B6" w:rsidRPr="00064F41" w:rsidRDefault="00CF72B6" w:rsidP="004717F4"/>
        </w:tc>
      </w:tr>
      <w:tr w:rsidR="00CF72B6" w:rsidRPr="003301E0" w:rsidTr="004717F4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EE544B" w:rsidRDefault="00CF72B6" w:rsidP="004717F4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1004" w:type="dxa"/>
            <w:gridSpan w:val="3"/>
          </w:tcPr>
          <w:p w:rsidR="00CF72B6" w:rsidRDefault="00CF72B6" w:rsidP="004717F4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</w:tr>
      <w:tr w:rsidR="00CF72B6" w:rsidRPr="003301E0" w:rsidTr="004717F4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EE544B" w:rsidRDefault="00CF72B6" w:rsidP="004717F4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4717F4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CF72B6" w:rsidRDefault="00CF72B6" w:rsidP="004717F4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</w:tr>
      <w:tr w:rsidR="00CF72B6" w:rsidRPr="003301E0" w:rsidTr="004717F4">
        <w:trPr>
          <w:gridAfter w:val="2"/>
          <w:wAfter w:w="25" w:type="dxa"/>
          <w:trHeight w:val="11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EE544B" w:rsidRDefault="00CF72B6" w:rsidP="004717F4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72B6" w:rsidRPr="00EE544B" w:rsidRDefault="00CF72B6" w:rsidP="004717F4">
            <w:pPr>
              <w:jc w:val="both"/>
            </w:pPr>
            <w:r>
              <w:t>районный бюджет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CF72B6" w:rsidRDefault="00CF72B6" w:rsidP="004717F4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Default="00CF72B6" w:rsidP="004717F4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</w:tcPr>
          <w:p w:rsidR="00CF72B6" w:rsidRPr="003301E0" w:rsidRDefault="00CF72B6" w:rsidP="004717F4">
            <w:pPr>
              <w:rPr>
                <w:sz w:val="28"/>
                <w:szCs w:val="28"/>
              </w:rPr>
            </w:pPr>
          </w:p>
        </w:tc>
      </w:tr>
      <w:tr w:rsidR="00CF72B6" w:rsidRPr="003301E0" w:rsidTr="004717F4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CF72B6" w:rsidRPr="00401433" w:rsidRDefault="00CF72B6" w:rsidP="004717F4"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1980" w:type="dxa"/>
            <w:vMerge w:val="restart"/>
          </w:tcPr>
          <w:p w:rsidR="00CF72B6" w:rsidRPr="00401433" w:rsidRDefault="00CF72B6" w:rsidP="004717F4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прогнозированию,</w:t>
            </w:r>
          </w:p>
          <w:p w:rsidR="00CF72B6" w:rsidRPr="00401433" w:rsidRDefault="00CF72B6" w:rsidP="004717F4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CF72B6" w:rsidRPr="00401433" w:rsidRDefault="00CF72B6" w:rsidP="004717F4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 w:val="restart"/>
          </w:tcPr>
          <w:p w:rsidR="00CF72B6" w:rsidRPr="00AE4C85" w:rsidRDefault="00CF72B6" w:rsidP="004717F4">
            <w:r w:rsidRPr="00AE4C85">
              <w:t xml:space="preserve">Занесение данных в торговый реестр в </w:t>
            </w:r>
            <w:r>
              <w:t>и</w:t>
            </w:r>
            <w:r w:rsidRPr="00AE4C85">
              <w:t>нформационно</w:t>
            </w:r>
            <w:r>
              <w:t>-т</w:t>
            </w:r>
            <w:r w:rsidRPr="00AE4C85">
              <w:t xml:space="preserve">елекоммуникационной сети "Интернет", формирование единого информационного ресурса, содержащего сведения о </w:t>
            </w:r>
            <w:r w:rsidRPr="00AE4C85">
              <w:lastRenderedPageBreak/>
              <w:t>хозяйствующих субъектах</w:t>
            </w:r>
          </w:p>
        </w:tc>
      </w:tr>
      <w:tr w:rsidR="00CF72B6" w:rsidRPr="003301E0" w:rsidTr="004717F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CF72B6" w:rsidRPr="00401433" w:rsidRDefault="00CF72B6" w:rsidP="004717F4">
            <w:pPr>
              <w:jc w:val="both"/>
            </w:pPr>
          </w:p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both"/>
            </w:pPr>
          </w:p>
        </w:tc>
        <w:tc>
          <w:tcPr>
            <w:tcW w:w="1560" w:type="dxa"/>
          </w:tcPr>
          <w:p w:rsidR="00CF72B6" w:rsidRPr="00401433" w:rsidRDefault="00CF72B6" w:rsidP="004717F4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CF72B6" w:rsidRPr="00401433" w:rsidRDefault="00CF72B6" w:rsidP="004717F4">
            <w:pPr>
              <w:jc w:val="both"/>
            </w:pPr>
          </w:p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both"/>
            </w:pPr>
          </w:p>
        </w:tc>
        <w:tc>
          <w:tcPr>
            <w:tcW w:w="1560" w:type="dxa"/>
          </w:tcPr>
          <w:p w:rsidR="00CF72B6" w:rsidRPr="00401433" w:rsidRDefault="00CF72B6" w:rsidP="004717F4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3"/>
          <w:wAfter w:w="39" w:type="dxa"/>
          <w:trHeight w:val="720"/>
        </w:trPr>
        <w:tc>
          <w:tcPr>
            <w:tcW w:w="1985" w:type="dxa"/>
            <w:vMerge/>
          </w:tcPr>
          <w:p w:rsidR="00CF72B6" w:rsidRPr="00401433" w:rsidRDefault="00CF72B6" w:rsidP="004717F4"/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60" w:type="dxa"/>
          </w:tcPr>
          <w:p w:rsidR="00CF72B6" w:rsidRPr="00401433" w:rsidRDefault="00CF72B6" w:rsidP="004717F4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1004" w:type="dxa"/>
            <w:gridSpan w:val="3"/>
          </w:tcPr>
          <w:p w:rsidR="00CF72B6" w:rsidRPr="00630387" w:rsidRDefault="00CF72B6" w:rsidP="004717F4">
            <w:pPr>
              <w:ind w:left="-86" w:right="-141"/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Pr="00630387">
              <w:rPr>
                <w:bCs/>
              </w:rPr>
              <w:t>,0</w:t>
            </w:r>
          </w:p>
        </w:tc>
        <w:tc>
          <w:tcPr>
            <w:tcW w:w="850" w:type="dxa"/>
          </w:tcPr>
          <w:p w:rsidR="00CF72B6" w:rsidRPr="00630387" w:rsidRDefault="00CF72B6" w:rsidP="004717F4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CF72B6" w:rsidRPr="00630387" w:rsidRDefault="00CF72B6" w:rsidP="004717F4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CF72B6" w:rsidRPr="00630387" w:rsidRDefault="00CF72B6" w:rsidP="004717F4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90" w:type="dxa"/>
          </w:tcPr>
          <w:p w:rsidR="00CF72B6" w:rsidRPr="00401433" w:rsidRDefault="00CF72B6" w:rsidP="004717F4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3"/>
          <w:wAfter w:w="39" w:type="dxa"/>
          <w:trHeight w:val="649"/>
        </w:trPr>
        <w:tc>
          <w:tcPr>
            <w:tcW w:w="1985" w:type="dxa"/>
            <w:vMerge/>
          </w:tcPr>
          <w:p w:rsidR="00CF72B6" w:rsidRPr="00401433" w:rsidRDefault="00CF72B6" w:rsidP="004717F4"/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60" w:type="dxa"/>
          </w:tcPr>
          <w:p w:rsidR="00CF72B6" w:rsidRPr="00401433" w:rsidRDefault="00CF72B6" w:rsidP="004717F4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2"/>
          <w:wAfter w:w="25" w:type="dxa"/>
          <w:trHeight w:val="557"/>
        </w:trPr>
        <w:tc>
          <w:tcPr>
            <w:tcW w:w="14895" w:type="dxa"/>
            <w:gridSpan w:val="29"/>
          </w:tcPr>
          <w:p w:rsidR="00CF72B6" w:rsidRPr="00DD1E78" w:rsidRDefault="00CF72B6" w:rsidP="00471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lastRenderedPageBreak/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CF72B6" w:rsidRPr="00401433" w:rsidRDefault="00CF72B6" w:rsidP="004717F4">
            <w:pPr>
              <w:jc w:val="center"/>
            </w:pPr>
          </w:p>
        </w:tc>
      </w:tr>
      <w:tr w:rsidR="00CF72B6" w:rsidRPr="003301E0" w:rsidTr="004717F4">
        <w:trPr>
          <w:gridAfter w:val="1"/>
          <w:wAfter w:w="6" w:type="dxa"/>
          <w:trHeight w:val="270"/>
        </w:trPr>
        <w:tc>
          <w:tcPr>
            <w:tcW w:w="1985" w:type="dxa"/>
            <w:vMerge w:val="restart"/>
          </w:tcPr>
          <w:p w:rsidR="00CF72B6" w:rsidRPr="00401433" w:rsidRDefault="00CF72B6" w:rsidP="004717F4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1980" w:type="dxa"/>
            <w:vMerge w:val="restart"/>
          </w:tcPr>
          <w:p w:rsidR="00CF72B6" w:rsidRPr="00EE544B" w:rsidRDefault="00CF72B6" w:rsidP="004717F4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CF72B6" w:rsidRPr="00401433" w:rsidRDefault="00CF72B6" w:rsidP="004717F4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>
              <w:t>Итого</w:t>
            </w:r>
          </w:p>
        </w:tc>
        <w:tc>
          <w:tcPr>
            <w:tcW w:w="972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CF72B6" w:rsidRPr="007A34E5" w:rsidRDefault="00CF72B6" w:rsidP="004717F4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CF72B6" w:rsidRPr="003301E0" w:rsidTr="004717F4">
        <w:trPr>
          <w:gridAfter w:val="1"/>
          <w:wAfter w:w="6" w:type="dxa"/>
          <w:trHeight w:val="345"/>
        </w:trPr>
        <w:tc>
          <w:tcPr>
            <w:tcW w:w="1985" w:type="dxa"/>
            <w:vMerge/>
          </w:tcPr>
          <w:p w:rsidR="00CF72B6" w:rsidRPr="00401433" w:rsidRDefault="00CF72B6" w:rsidP="004717F4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 w:rsidRPr="00401433">
              <w:t>в том числе:</w:t>
            </w:r>
          </w:p>
        </w:tc>
        <w:tc>
          <w:tcPr>
            <w:tcW w:w="972" w:type="dxa"/>
            <w:gridSpan w:val="2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525"/>
        </w:trPr>
        <w:tc>
          <w:tcPr>
            <w:tcW w:w="1985" w:type="dxa"/>
            <w:vMerge/>
          </w:tcPr>
          <w:p w:rsidR="00CF72B6" w:rsidRPr="00401433" w:rsidRDefault="00CF72B6" w:rsidP="004717F4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972" w:type="dxa"/>
            <w:gridSpan w:val="2"/>
          </w:tcPr>
          <w:p w:rsidR="00CF72B6" w:rsidRPr="00630387" w:rsidRDefault="00CF72B6" w:rsidP="004717F4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531"/>
        </w:trPr>
        <w:tc>
          <w:tcPr>
            <w:tcW w:w="1985" w:type="dxa"/>
            <w:vMerge/>
          </w:tcPr>
          <w:p w:rsidR="00CF72B6" w:rsidRPr="00401433" w:rsidRDefault="00CF72B6" w:rsidP="004717F4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>
              <w:t>областной бюджет</w:t>
            </w:r>
          </w:p>
        </w:tc>
        <w:tc>
          <w:tcPr>
            <w:tcW w:w="972" w:type="dxa"/>
            <w:gridSpan w:val="2"/>
          </w:tcPr>
          <w:p w:rsidR="00CF72B6" w:rsidRPr="00630387" w:rsidRDefault="00CF72B6" w:rsidP="004717F4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597"/>
        </w:trPr>
        <w:tc>
          <w:tcPr>
            <w:tcW w:w="1985" w:type="dxa"/>
            <w:vMerge/>
          </w:tcPr>
          <w:p w:rsidR="00CF72B6" w:rsidRPr="00401433" w:rsidRDefault="00CF72B6" w:rsidP="004717F4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>
              <w:t>районный бюджет</w:t>
            </w:r>
          </w:p>
        </w:tc>
        <w:tc>
          <w:tcPr>
            <w:tcW w:w="972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CF72B6" w:rsidRPr="00401433" w:rsidRDefault="00CF72B6" w:rsidP="004717F4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CF72B6" w:rsidRPr="003301E0" w:rsidTr="004717F4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CF72B6" w:rsidRPr="00401433" w:rsidRDefault="00CF72B6" w:rsidP="000E035F">
            <w:pPr>
              <w:ind w:right="-115"/>
            </w:pPr>
            <w:r>
              <w:t>11</w:t>
            </w:r>
            <w:r w:rsidR="000E035F">
              <w:t>27</w:t>
            </w:r>
            <w:r>
              <w:t>3,1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4717F4">
            <w:pPr>
              <w:ind w:right="-105"/>
              <w:jc w:val="center"/>
            </w:pPr>
            <w:r>
              <w:t>625,0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ind w:right="-106"/>
              <w:jc w:val="center"/>
            </w:pPr>
            <w:r>
              <w:t>1090,0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0E035F">
            <w:pPr>
              <w:ind w:right="-86"/>
              <w:jc w:val="center"/>
            </w:pPr>
            <w:r>
              <w:t>1</w:t>
            </w:r>
            <w:r w:rsidR="000E035F">
              <w:t>92</w:t>
            </w:r>
            <w:r>
              <w:t>8,0</w:t>
            </w:r>
          </w:p>
        </w:tc>
        <w:tc>
          <w:tcPr>
            <w:tcW w:w="993" w:type="dxa"/>
          </w:tcPr>
          <w:p w:rsidR="00CF72B6" w:rsidRDefault="00CF72B6" w:rsidP="004717F4">
            <w:pPr>
              <w:ind w:right="-86"/>
              <w:jc w:val="center"/>
            </w:pPr>
            <w:r>
              <w:t>2714,3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ind w:right="-86"/>
              <w:jc w:val="center"/>
            </w:pPr>
            <w:r>
              <w:t>1815,3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ind w:right="-86"/>
              <w:jc w:val="center"/>
            </w:pPr>
            <w:r>
              <w:t>1802,5</w:t>
            </w:r>
          </w:p>
        </w:tc>
        <w:tc>
          <w:tcPr>
            <w:tcW w:w="1872" w:type="dxa"/>
            <w:gridSpan w:val="6"/>
            <w:vMerge w:val="restart"/>
          </w:tcPr>
          <w:p w:rsidR="00CF72B6" w:rsidRPr="00401433" w:rsidRDefault="00CF72B6" w:rsidP="004717F4"/>
          <w:p w:rsidR="00CF72B6" w:rsidRPr="00401433" w:rsidRDefault="00CF72B6" w:rsidP="004717F4"/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CF72B6" w:rsidRPr="00401433" w:rsidRDefault="00CF72B6" w:rsidP="004717F4"/>
        </w:tc>
        <w:tc>
          <w:tcPr>
            <w:tcW w:w="858" w:type="dxa"/>
            <w:gridSpan w:val="2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993" w:type="dxa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992" w:type="dxa"/>
            <w:gridSpan w:val="4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437"/>
        </w:trPr>
        <w:tc>
          <w:tcPr>
            <w:tcW w:w="3965" w:type="dxa"/>
            <w:gridSpan w:val="2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964" w:type="dxa"/>
          </w:tcPr>
          <w:p w:rsidR="00CF72B6" w:rsidRPr="00401433" w:rsidRDefault="00CF72B6" w:rsidP="004717F4">
            <w:pPr>
              <w:ind w:right="-119"/>
              <w:jc w:val="center"/>
            </w:pPr>
            <w:r>
              <w:t>0,0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4717F4">
            <w:pPr>
              <w:ind w:right="-109"/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627"/>
        </w:trPr>
        <w:tc>
          <w:tcPr>
            <w:tcW w:w="3965" w:type="dxa"/>
            <w:gridSpan w:val="2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964" w:type="dxa"/>
          </w:tcPr>
          <w:p w:rsidR="00CF72B6" w:rsidRPr="00401433" w:rsidRDefault="00CF72B6" w:rsidP="004717F4">
            <w:pPr>
              <w:ind w:right="-106"/>
              <w:jc w:val="center"/>
            </w:pPr>
            <w:r>
              <w:t>4051,1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r>
              <w:t>698,0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698,0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4717F4">
            <w:pPr>
              <w:jc w:val="center"/>
            </w:pPr>
            <w:r>
              <w:t>708</w:t>
            </w:r>
          </w:p>
        </w:tc>
        <w:tc>
          <w:tcPr>
            <w:tcW w:w="993" w:type="dxa"/>
          </w:tcPr>
          <w:p w:rsidR="00CF72B6" w:rsidRDefault="00CF72B6" w:rsidP="004717F4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  <w:r>
              <w:t>640,7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  <w:tr w:rsidR="00CF72B6" w:rsidRPr="003301E0" w:rsidTr="004717F4">
        <w:trPr>
          <w:gridAfter w:val="1"/>
          <w:wAfter w:w="6" w:type="dxa"/>
          <w:trHeight w:val="551"/>
        </w:trPr>
        <w:tc>
          <w:tcPr>
            <w:tcW w:w="3965" w:type="dxa"/>
            <w:gridSpan w:val="2"/>
            <w:vMerge/>
          </w:tcPr>
          <w:p w:rsidR="00CF72B6" w:rsidRPr="00401433" w:rsidRDefault="00CF72B6" w:rsidP="004717F4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4717F4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CF72B6" w:rsidRPr="00401433" w:rsidRDefault="00CF72B6" w:rsidP="000E035F">
            <w:pPr>
              <w:ind w:right="-108"/>
              <w:jc w:val="center"/>
            </w:pPr>
            <w:r>
              <w:t>7</w:t>
            </w:r>
            <w:r w:rsidR="000E035F">
              <w:t>22</w:t>
            </w:r>
            <w:r>
              <w:t>2,0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600,0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4717F4">
            <w:pPr>
              <w:jc w:val="center"/>
            </w:pPr>
            <w:r>
              <w:t>392,0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0E035F">
            <w:pPr>
              <w:jc w:val="center"/>
            </w:pPr>
            <w:r>
              <w:t>1</w:t>
            </w:r>
            <w:r w:rsidR="000E035F">
              <w:t>22</w:t>
            </w:r>
            <w:r>
              <w:t>0,0</w:t>
            </w:r>
          </w:p>
        </w:tc>
        <w:tc>
          <w:tcPr>
            <w:tcW w:w="993" w:type="dxa"/>
          </w:tcPr>
          <w:p w:rsidR="00CF72B6" w:rsidRDefault="00CF72B6" w:rsidP="004717F4">
            <w:pPr>
              <w:jc w:val="center"/>
            </w:pPr>
            <w:r>
              <w:t>2073,6</w:t>
            </w:r>
          </w:p>
        </w:tc>
        <w:tc>
          <w:tcPr>
            <w:tcW w:w="992" w:type="dxa"/>
            <w:gridSpan w:val="4"/>
          </w:tcPr>
          <w:p w:rsidR="00CF72B6" w:rsidRDefault="00CF72B6" w:rsidP="004717F4">
            <w:pPr>
              <w:jc w:val="center"/>
            </w:pPr>
            <w:r>
              <w:t>1174,6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4717F4">
            <w:pPr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4717F4"/>
        </w:tc>
      </w:tr>
    </w:tbl>
    <w:p w:rsidR="0070198F" w:rsidRDefault="0070198F" w:rsidP="000E035F">
      <w:pPr>
        <w:pStyle w:val="ConsPlusNormal"/>
        <w:widowControl/>
        <w:ind w:firstLine="0"/>
      </w:pPr>
    </w:p>
    <w:sectPr w:rsidR="0070198F" w:rsidSect="00FB76C3">
      <w:head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F4" w:rsidRDefault="004717F4" w:rsidP="002E0A7A">
      <w:r>
        <w:separator/>
      </w:r>
    </w:p>
  </w:endnote>
  <w:endnote w:type="continuationSeparator" w:id="0">
    <w:p w:rsidR="004717F4" w:rsidRDefault="004717F4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F4" w:rsidRDefault="004717F4" w:rsidP="002E0A7A">
      <w:r>
        <w:separator/>
      </w:r>
    </w:p>
  </w:footnote>
  <w:footnote w:type="continuationSeparator" w:id="0">
    <w:p w:rsidR="004717F4" w:rsidRDefault="004717F4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F4" w:rsidRDefault="004717F4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717F4" w:rsidRDefault="004717F4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48CE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035F"/>
    <w:rsid w:val="000E130A"/>
    <w:rsid w:val="000E216F"/>
    <w:rsid w:val="000E2F80"/>
    <w:rsid w:val="000E5498"/>
    <w:rsid w:val="000E638F"/>
    <w:rsid w:val="000F33B2"/>
    <w:rsid w:val="000F77FA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B77EF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1D61"/>
    <w:rsid w:val="004146C2"/>
    <w:rsid w:val="00421459"/>
    <w:rsid w:val="004214B4"/>
    <w:rsid w:val="00423085"/>
    <w:rsid w:val="0042536A"/>
    <w:rsid w:val="00425EE8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17F4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973A2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103F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3ED1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6478"/>
    <w:rsid w:val="008E75ED"/>
    <w:rsid w:val="008E7731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06B3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4D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D6D63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680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03D7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366A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2B6"/>
    <w:rsid w:val="00CF76EB"/>
    <w:rsid w:val="00D0267C"/>
    <w:rsid w:val="00D050FD"/>
    <w:rsid w:val="00D0653A"/>
    <w:rsid w:val="00D07EFB"/>
    <w:rsid w:val="00D11321"/>
    <w:rsid w:val="00D14191"/>
    <w:rsid w:val="00D210EE"/>
    <w:rsid w:val="00D212A0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4B8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5DF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B76C3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520A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0B651181CFD97232894312495ECEE4FD108493C008A2CBC832B890A3600A3y5g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3F8B5040E5BC988502E92D9435F95D3DE51C2B08106954ABC6E22C8739C8B0260B1074430144BE114C432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052F-D35F-4B3C-AFFB-75276CFF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econom2</cp:lastModifiedBy>
  <cp:revision>5</cp:revision>
  <cp:lastPrinted>2013-10-01T13:21:00Z</cp:lastPrinted>
  <dcterms:created xsi:type="dcterms:W3CDTF">2021-11-30T13:31:00Z</dcterms:created>
  <dcterms:modified xsi:type="dcterms:W3CDTF">2021-12-22T14:15:00Z</dcterms:modified>
</cp:coreProperties>
</file>