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B" w:rsidRPr="002A36BB" w:rsidRDefault="002A36BB" w:rsidP="002A36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36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Разъяснены особенности налогообложения земельных участков предпринимателей</w:t>
      </w:r>
    </w:p>
    <w:p w:rsidR="002A36BB" w:rsidRPr="0044683C" w:rsidRDefault="00D956EA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-1905</wp:posOffset>
            </wp:positionV>
            <wp:extent cx="2043430" cy="1362075"/>
            <wp:effectExtent l="0" t="0" r="0" b="9525"/>
            <wp:wrapSquare wrapText="bothSides"/>
            <wp:docPr id="1" name="Рисунок 1" descr="F: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2A36BB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="002A36BB">
        <w:rPr>
          <w:rFonts w:ascii="Times New Roman" w:eastAsia="Times New Roman" w:hAnsi="Times New Roman" w:cs="Times New Roman"/>
          <w:sz w:val="24"/>
          <w:szCs w:val="24"/>
        </w:rPr>
        <w:t xml:space="preserve"> ИФНС </w:t>
      </w:r>
      <w:r w:rsidR="002A36BB" w:rsidRPr="0044683C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2A36BB">
        <w:rPr>
          <w:rFonts w:ascii="Times New Roman" w:eastAsia="Times New Roman" w:hAnsi="Times New Roman" w:cs="Times New Roman"/>
          <w:sz w:val="24"/>
          <w:szCs w:val="24"/>
        </w:rPr>
        <w:t xml:space="preserve">№ 3 </w:t>
      </w:r>
      <w:r w:rsidR="002A36BB" w:rsidRPr="0044683C">
        <w:rPr>
          <w:rFonts w:ascii="Times New Roman" w:eastAsia="Times New Roman" w:hAnsi="Times New Roman" w:cs="Times New Roman"/>
          <w:sz w:val="24"/>
          <w:szCs w:val="24"/>
        </w:rPr>
        <w:t xml:space="preserve">по Архангельской области и Ненецкому автономному округу в связи с подготовкой к массовому направлению налоговых уведомлений обращает внимание на особенности исчисления земельного налога в отношении земельных участков, используемых в предпринимательской деятельности. </w:t>
      </w:r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394 Налогового кодекса РФ налоговые ставки по земельному налогу устанавливаются нормативными правовыми актами представительных органов муниципальных образований в зависимости от категорий земель и (или) разрешенного использования земельного участка. </w:t>
      </w:r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3C">
        <w:rPr>
          <w:rFonts w:ascii="Times New Roman" w:eastAsia="Times New Roman" w:hAnsi="Times New Roman" w:cs="Times New Roman"/>
          <w:sz w:val="24"/>
          <w:szCs w:val="24"/>
        </w:rPr>
        <w:t xml:space="preserve">Так, согласно абзацу четвертому подпункта 1 пункта 1 статьи 394 Налогового кодекса РФ в отношении земельных участков, приобретенных (предоставленных) для личного подсобного хозяйства, садоводства и огородничества, установлена пониженная предельная налоговая ставка по земельному налогу в размере 0,3 процента кадастровой стоимости. </w:t>
      </w:r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3C">
        <w:rPr>
          <w:rFonts w:ascii="Times New Roman" w:eastAsia="Times New Roman" w:hAnsi="Times New Roman" w:cs="Times New Roman"/>
          <w:sz w:val="24"/>
          <w:szCs w:val="24"/>
        </w:rPr>
        <w:t xml:space="preserve">При этом для применения пониженной налоговой ставки по земельному налогу необходимо учитывать не только категорию земель и вид разрешенного использования земельного участка, но и целевой характер использования таких земель (определение Высшего Арбитражного Суда Российской Федерации от 19.02.2014 N ВАС-1310/14). </w:t>
      </w:r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83C">
        <w:rPr>
          <w:rFonts w:ascii="Times New Roman" w:eastAsia="Times New Roman" w:hAnsi="Times New Roman" w:cs="Times New Roman"/>
          <w:sz w:val="24"/>
          <w:szCs w:val="24"/>
        </w:rPr>
        <w:t xml:space="preserve">Пунктом 2 статьи 2 Федерального закона от 07.07.2003 N 112-ФЗ «О личном подсобном хозяйстве» предусмотрено, что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 </w:t>
      </w:r>
      <w:proofErr w:type="gramEnd"/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83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пониженные налоговые ставки по земельному налогу, установленные абзацем четвертым подпункта 1 пункта 1 статьи 394 Налогового кодекса РФ, применяются некоммерческими организациями и физическими лицами, непосредственно использующими земельные участки в целях удовлетворения личных потребностей при ведении личного подсобного хозяйства, садоводства и огородничества, а не в целях извлечения прибыли (определение Верховного Суда Российской Федерации от 18.05.2015 N 305-КГ14-9101). </w:t>
      </w:r>
      <w:proofErr w:type="gramEnd"/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3C">
        <w:rPr>
          <w:rFonts w:ascii="Times New Roman" w:eastAsia="Times New Roman" w:hAnsi="Times New Roman" w:cs="Times New Roman"/>
          <w:sz w:val="24"/>
          <w:szCs w:val="24"/>
        </w:rPr>
        <w:t xml:space="preserve">А это значит, что в случае использования указанных выше земельных участков в коммерческой деятельности (включая перепродажу) подлежат применению налоговые ставки, устанавливаемые представительными органами муниципальных образований для прочих земельных участков в пределах до 1,5 процентов кадастровой стоимости. </w:t>
      </w:r>
    </w:p>
    <w:p w:rsidR="002A36BB" w:rsidRPr="0044683C" w:rsidRDefault="002A36BB" w:rsidP="002A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3C">
        <w:rPr>
          <w:rFonts w:ascii="Times New Roman" w:eastAsia="Times New Roman" w:hAnsi="Times New Roman" w:cs="Times New Roman"/>
          <w:sz w:val="24"/>
          <w:szCs w:val="24"/>
        </w:rPr>
        <w:t>Данный вывод подтверждается складывающейся судебной практикой (в частности, решение Высшего Арбитражного Суда Российской Федерации от 11.03.2013 N ВАС-17640/12, определение Верховного Суда Российской Федерации от 20.06.2018 N 301-КГ18-7425).</w:t>
      </w:r>
    </w:p>
    <w:p w:rsidR="00290BE3" w:rsidRDefault="00D956EA" w:rsidP="002A36BB">
      <w:pPr>
        <w:spacing w:after="0"/>
        <w:ind w:firstLine="709"/>
        <w:jc w:val="both"/>
      </w:pPr>
    </w:p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E"/>
    <w:rsid w:val="002A36BB"/>
    <w:rsid w:val="0060418E"/>
    <w:rsid w:val="00C817FC"/>
    <w:rsid w:val="00D956EA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dcterms:created xsi:type="dcterms:W3CDTF">2019-07-18T13:03:00Z</dcterms:created>
  <dcterms:modified xsi:type="dcterms:W3CDTF">2019-07-18T14:19:00Z</dcterms:modified>
</cp:coreProperties>
</file>